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3262C07" w:rsidR="00F517D0" w:rsidRPr="00562E87" w:rsidRDefault="005D561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62E87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日本薬局方</w:t>
      </w:r>
      <w:r w:rsidR="00F50851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 xml:space="preserve">　</w:t>
      </w:r>
      <w:r w:rsidR="00F50851" w:rsidRPr="00F50851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ベザフィブラート徐放錠</w:t>
      </w:r>
      <w:r w:rsidRPr="00562E8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　</w:t>
      </w:r>
      <w:r w:rsidR="00F50851" w:rsidRPr="00F50851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ベザフィブラートSR錠200mg 「サワイ」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5EDB20A" w:rsidR="00F517D0" w:rsidRPr="006F11CC" w:rsidRDefault="00F5085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F50851">
              <w:rPr>
                <w:rFonts w:ascii="UD デジタル 教科書体 NK-R" w:eastAsia="UD デジタル 教科書体 NK-R" w:hAnsi="Meiryo UI" w:hint="eastAsia"/>
                <w:b/>
              </w:rPr>
              <w:t>ベザフィブラートSR錠200mg 「サワイ」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4E62EC94" w:rsidR="00F517D0" w:rsidRPr="006F11CC" w:rsidRDefault="009A652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9A6521">
              <w:rPr>
                <w:rFonts w:ascii="UD デジタル 教科書体 NK-R" w:eastAsia="UD デジタル 教科書体 NK-R" w:hAnsi="Meiryo UI" w:hint="eastAsia"/>
              </w:rPr>
              <w:t>ベザトールSR錠200mg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0383F616" w:rsidR="00F517D0" w:rsidRPr="006F11CC" w:rsidRDefault="00577F8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</w:t>
            </w:r>
            <w:r w:rsidR="002C408B">
              <w:rPr>
                <w:rFonts w:ascii="UD デジタル 教科書体 NK-R" w:eastAsia="UD デジタル 教科書体 NK-R" w:hAnsi="Meiryo UI" w:hint="eastAsia"/>
                <w:bCs/>
              </w:rPr>
              <w:t>4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69D98189" w:rsidR="00F517D0" w:rsidRPr="006F11CC" w:rsidRDefault="00577F8F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2C408B">
              <w:rPr>
                <w:rFonts w:ascii="UD デジタル 教科書体 NK-R" w:eastAsia="UD デジタル 教科書体 NK-R" w:hAnsi="Meiryo UI" w:hint="eastAsia"/>
                <w:bCs/>
              </w:rPr>
              <w:t>3.5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2C56E9CF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2C408B">
              <w:rPr>
                <w:rFonts w:ascii="UD デジタル 教科書体 NK-R" w:eastAsia="UD デジタル 教科書体 NK-R" w:hAnsi="Meiryo UI" w:hint="eastAsia"/>
                <w:bCs/>
              </w:rPr>
              <w:t>3</w:t>
            </w:r>
            <w:r w:rsidR="00577F8F">
              <w:rPr>
                <w:rFonts w:ascii="UD デジタル 教科書体 NK-R" w:eastAsia="UD デジタル 教科書体 NK-R" w:hAnsi="Meiryo UI" w:hint="eastAsia"/>
                <w:bCs/>
              </w:rPr>
              <w:t>.10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41535E24" w:rsidR="00F517D0" w:rsidRPr="00105BA9" w:rsidRDefault="00F5085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F50851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高脂血症治療剤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5F0FCACC" w:rsidR="00F517D0" w:rsidRPr="00105BA9" w:rsidRDefault="00F5085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0851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E11A77B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01334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9A6521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A6521" w:rsidRPr="009A6521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ベザフィブラート 200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322FE1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8D0CB35" w:rsidR="006F7D16" w:rsidRPr="00306F0E" w:rsidRDefault="009A6521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9A6521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カルナウバロウ、軽質無水ケイ酸、結晶セルロース、酸化チタン、ステアリン酸Mg、タルク、ヒドロキシプロピルセルロース、ヒプロメロース、マクロゴール6000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1E08B000" w:rsidR="006F7D16" w:rsidRPr="00306F0E" w:rsidRDefault="009A6521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9A6521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乳糖水和物、トウモロコシデンプン、無水ケイ酸、ポビドン、ステアリン酸マグネシウム、ヒプロメロース、マクロゴール、タルク、酸化チタン、ポリソルベート80</w:t>
            </w:r>
          </w:p>
        </w:tc>
      </w:tr>
      <w:tr w:rsidR="006F7D16" w:rsidRPr="00562E87" w14:paraId="0B7E30FD" w14:textId="77777777" w:rsidTr="00322FE1">
        <w:trPr>
          <w:trHeight w:val="256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921D1A8" w:rsidR="006F7D16" w:rsidRPr="006100A3" w:rsidRDefault="004F4931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74DFB8" wp14:editId="0C5D81B9">
                  <wp:extent cx="2048607" cy="635469"/>
                  <wp:effectExtent l="0" t="0" r="0" b="0"/>
                  <wp:docPr id="6605404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4049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5914" cy="63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973"/>
            </w:tblGrid>
            <w:tr w:rsidR="00020F09" w:rsidRPr="00E03FA7" w14:paraId="1330BFA6" w14:textId="77777777" w:rsidTr="009A65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973" w:type="dxa"/>
                </w:tcPr>
                <w:p w14:paraId="236DC6EF" w14:textId="77777777" w:rsidR="00020F09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白色～帯黄白色</w:t>
                  </w:r>
                </w:p>
                <w:p w14:paraId="3067A4F9" w14:textId="649480F5" w:rsidR="009A6521" w:rsidRPr="00E03FA7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徐放性フィルムコーティング錠</w:t>
                  </w:r>
                </w:p>
              </w:tc>
            </w:tr>
            <w:tr w:rsidR="00020F09" w:rsidRPr="00E03FA7" w14:paraId="6ECDF6BB" w14:textId="77777777" w:rsidTr="009A65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973" w:type="dxa"/>
                </w:tcPr>
                <w:p w14:paraId="1B3F8495" w14:textId="5752539F" w:rsidR="00020F09" w:rsidRPr="00E03FA7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9.1mm</w:t>
                  </w:r>
                </w:p>
              </w:tc>
            </w:tr>
            <w:tr w:rsidR="00020F09" w:rsidRPr="00E03FA7" w14:paraId="3B27C065" w14:textId="77777777" w:rsidTr="009A65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973" w:type="dxa"/>
                </w:tcPr>
                <w:p w14:paraId="2814A5C2" w14:textId="38D10B0B" w:rsidR="00020F09" w:rsidRPr="00E03FA7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4.8mm</w:t>
                  </w:r>
                </w:p>
              </w:tc>
            </w:tr>
            <w:tr w:rsidR="00020F09" w:rsidRPr="00E03FA7" w14:paraId="5F8DE7FD" w14:textId="77777777" w:rsidTr="009A65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973" w:type="dxa"/>
                </w:tcPr>
                <w:p w14:paraId="24C974AD" w14:textId="5945649C" w:rsidR="00020F09" w:rsidRPr="00E03FA7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約258mg</w:t>
                  </w:r>
                </w:p>
              </w:tc>
            </w:tr>
            <w:tr w:rsidR="00020F09" w:rsidRPr="00E03FA7" w14:paraId="4BA109BD" w14:textId="77777777" w:rsidTr="009A65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973" w:type="dxa"/>
                </w:tcPr>
                <w:p w14:paraId="29EEDD00" w14:textId="09AF8672" w:rsidR="00020F09" w:rsidRPr="00E03FA7" w:rsidRDefault="009A6521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SW 422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204975F7" w14:textId="77777777" w:rsidR="004F4931" w:rsidRDefault="004F493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13F38DEA" w14:textId="77777777" w:rsidR="00322FE1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3C826ECF" w:rsidR="00020F09" w:rsidRPr="00E03FA7" w:rsidRDefault="009A6521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フィルムコート錠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9A6521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350F6947" w:rsidR="00020F09" w:rsidRPr="00E03FA7" w:rsidRDefault="009A6521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9.1mm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070D6109" w:rsidR="00020F09" w:rsidRPr="00E03FA7" w:rsidRDefault="009A6521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約4.1mm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60B75756" w:rsidR="00F029B4" w:rsidRPr="00E03FA7" w:rsidRDefault="009A6521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9A6521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約265mg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9671C7">
        <w:trPr>
          <w:trHeight w:val="46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E415DBF" w:rsidR="00F517D0" w:rsidRPr="00BF139D" w:rsidRDefault="00CF0C9D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C9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高脂血症（家族性を含む）</w:t>
            </w:r>
          </w:p>
        </w:tc>
      </w:tr>
      <w:tr w:rsidR="00F517D0" w:rsidRPr="00562E87" w14:paraId="7D7D8B15" w14:textId="77777777" w:rsidTr="009671C7">
        <w:trPr>
          <w:trHeight w:val="939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7E98C35C" w14:textId="77777777" w:rsidR="00CF0C9D" w:rsidRPr="00CF0C9D" w:rsidRDefault="00CF0C9D" w:rsidP="00CF0C9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F0C9D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通常、成人にはベザフィブラートとして1日400mgを2回に分けて朝夕食後に経口投与する。</w:t>
            </w:r>
          </w:p>
          <w:p w14:paraId="6E16D886" w14:textId="1A2A9A07" w:rsidR="00D306DB" w:rsidRPr="00BF139D" w:rsidRDefault="00CF0C9D" w:rsidP="00CF0C9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F0C9D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なお、腎機能障害を有する患者及び高齢者に対しては適宜減量すること。</w:t>
            </w:r>
          </w:p>
        </w:tc>
      </w:tr>
      <w:tr w:rsidR="00F517D0" w:rsidRPr="00562E87" w14:paraId="2259B4B1" w14:textId="77777777" w:rsidTr="00B6705E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D0524E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37A2B6EC" w:rsidR="00F517D0" w:rsidRPr="00BF139D" w:rsidRDefault="00692255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505485" wp14:editId="3CC77BE3">
                  <wp:extent cx="2806700" cy="1839595"/>
                  <wp:effectExtent l="0" t="0" r="0" b="8255"/>
                  <wp:docPr id="8315521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521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3C941A8B" w:rsidR="00831CEF" w:rsidRPr="00BF139D" w:rsidRDefault="00831CEF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692255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36551383" w:rsidR="0009286D" w:rsidRDefault="00F55874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AE2858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78DA60E4" wp14:editId="6CC3FA52">
                  <wp:extent cx="2567455" cy="1600200"/>
                  <wp:effectExtent l="0" t="0" r="444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18" cy="160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C56D6" w14:textId="43E07D34" w:rsidR="00F55874" w:rsidRDefault="00F55874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F5587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試験条件：試験液「pH7.2」、50回転/分</w:t>
            </w:r>
          </w:p>
          <w:p w14:paraId="38E3E037" w14:textId="79E88182" w:rsidR="00F55874" w:rsidRPr="00BF139D" w:rsidRDefault="00F55874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F5587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(グラフは１液性を抜粋)</w:t>
            </w:r>
          </w:p>
          <w:p w14:paraId="205A93C0" w14:textId="263647D7" w:rsidR="002D4AB6" w:rsidRPr="00BF139D" w:rsidRDefault="00F55874" w:rsidP="0066189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F5587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日本薬局方に定められた溶出規格に適合していることが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確認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された。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DCE" w14:textId="77777777" w:rsidR="00280624" w:rsidRDefault="007B0977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3CE2C644" w:rsidR="00FD614B" w:rsidRPr="00FD614B" w:rsidRDefault="00013347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FD614B" w:rsidRPr="00FD614B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アルミ袋開封後は湿気を避けて保存すること。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1CA8" w14:textId="77777777" w:rsidR="00280624" w:rsidRDefault="007B0977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19CC01E5" w:rsidR="00FD614B" w:rsidRPr="00FD614B" w:rsidRDefault="00013347" w:rsidP="0066189A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E9342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〈PTP〉</w:t>
            </w:r>
            <w:r w:rsidR="00FD614B" w:rsidRPr="00FD614B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54E89A89" w14:textId="77777777" w:rsidR="009472A5" w:rsidRDefault="009472A5" w:rsidP="009472A5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1D54870A" w:rsidR="00A42052" w:rsidRPr="00562E87" w:rsidRDefault="00F517D0" w:rsidP="002C408B">
      <w:pPr>
        <w:tabs>
          <w:tab w:val="left" w:pos="9609"/>
        </w:tabs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F55874">
        <w:rPr>
          <w:rFonts w:ascii="UD デジタル 教科書体 NK-R" w:eastAsia="UD デジタル 教科書体 NK-R" w:hAnsi="Meiryo UI" w:hint="eastAsia"/>
          <w:sz w:val="16"/>
          <w:szCs w:val="16"/>
        </w:rPr>
        <w:t>12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F55874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  <w:r w:rsidR="002C408B">
        <w:rPr>
          <w:rFonts w:ascii="UD デジタル 教科書体 NK-R" w:eastAsia="UD デジタル 教科書体 NK-R" w:hAnsi="Meiryo UI"/>
          <w:sz w:val="16"/>
          <w:szCs w:val="16"/>
        </w:rPr>
        <w:tab/>
      </w:r>
    </w:p>
    <w:sectPr w:rsidR="00A42052" w:rsidRPr="00562E87" w:rsidSect="00C71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4D2F9" w14:textId="77777777" w:rsidR="000205C1" w:rsidRDefault="000205C1" w:rsidP="00F517D0">
      <w:r>
        <w:separator/>
      </w:r>
    </w:p>
  </w:endnote>
  <w:endnote w:type="continuationSeparator" w:id="0">
    <w:p w14:paraId="6CD16EE4" w14:textId="77777777" w:rsidR="000205C1" w:rsidRDefault="000205C1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1368" w14:textId="77777777" w:rsidR="002C408B" w:rsidRDefault="002C40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329787AB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2C408B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1555" w14:textId="77777777" w:rsidR="002C408B" w:rsidRDefault="002C4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E041" w14:textId="77777777" w:rsidR="000205C1" w:rsidRDefault="000205C1" w:rsidP="00F517D0">
      <w:r>
        <w:separator/>
      </w:r>
    </w:p>
  </w:footnote>
  <w:footnote w:type="continuationSeparator" w:id="0">
    <w:p w14:paraId="40B104A7" w14:textId="77777777" w:rsidR="000205C1" w:rsidRDefault="000205C1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265A" w14:textId="77777777" w:rsidR="002C408B" w:rsidRDefault="002C4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C7A0" w14:textId="77777777" w:rsidR="002C408B" w:rsidRDefault="002C40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26A1" w14:textId="77777777" w:rsidR="002C408B" w:rsidRDefault="002C4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3347"/>
    <w:rsid w:val="000205C1"/>
    <w:rsid w:val="00020F09"/>
    <w:rsid w:val="000510B0"/>
    <w:rsid w:val="000531C0"/>
    <w:rsid w:val="000631D7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17E5F"/>
    <w:rsid w:val="0012361D"/>
    <w:rsid w:val="00165821"/>
    <w:rsid w:val="00171F9B"/>
    <w:rsid w:val="001A3AFF"/>
    <w:rsid w:val="001F1A87"/>
    <w:rsid w:val="002506BF"/>
    <w:rsid w:val="002510A7"/>
    <w:rsid w:val="002518CE"/>
    <w:rsid w:val="00254562"/>
    <w:rsid w:val="00261DEB"/>
    <w:rsid w:val="002705A2"/>
    <w:rsid w:val="00280624"/>
    <w:rsid w:val="002970EA"/>
    <w:rsid w:val="002C408B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8E8"/>
    <w:rsid w:val="003A2F3A"/>
    <w:rsid w:val="003B6C6D"/>
    <w:rsid w:val="003D1CE5"/>
    <w:rsid w:val="003D77CA"/>
    <w:rsid w:val="003E2084"/>
    <w:rsid w:val="003E764B"/>
    <w:rsid w:val="00414786"/>
    <w:rsid w:val="00420BB1"/>
    <w:rsid w:val="0043294E"/>
    <w:rsid w:val="004365FA"/>
    <w:rsid w:val="00445D61"/>
    <w:rsid w:val="00462D73"/>
    <w:rsid w:val="00470FF7"/>
    <w:rsid w:val="00483C72"/>
    <w:rsid w:val="0048731A"/>
    <w:rsid w:val="0049460A"/>
    <w:rsid w:val="004C5EFA"/>
    <w:rsid w:val="004D0D45"/>
    <w:rsid w:val="004D5099"/>
    <w:rsid w:val="004D5FEE"/>
    <w:rsid w:val="004F4931"/>
    <w:rsid w:val="0051389A"/>
    <w:rsid w:val="00544857"/>
    <w:rsid w:val="005541B4"/>
    <w:rsid w:val="00562E87"/>
    <w:rsid w:val="00573CFC"/>
    <w:rsid w:val="005742B5"/>
    <w:rsid w:val="00577F8F"/>
    <w:rsid w:val="005A0621"/>
    <w:rsid w:val="005C50E0"/>
    <w:rsid w:val="005D561C"/>
    <w:rsid w:val="005D7C56"/>
    <w:rsid w:val="005E6735"/>
    <w:rsid w:val="005F2CFF"/>
    <w:rsid w:val="00600EFE"/>
    <w:rsid w:val="006100A3"/>
    <w:rsid w:val="00634BD6"/>
    <w:rsid w:val="00653C5D"/>
    <w:rsid w:val="0066189A"/>
    <w:rsid w:val="00680342"/>
    <w:rsid w:val="00683C16"/>
    <w:rsid w:val="00692255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34ED"/>
    <w:rsid w:val="007645A9"/>
    <w:rsid w:val="007925D9"/>
    <w:rsid w:val="007B0977"/>
    <w:rsid w:val="007C0E1D"/>
    <w:rsid w:val="007D0F4D"/>
    <w:rsid w:val="008014B8"/>
    <w:rsid w:val="00806408"/>
    <w:rsid w:val="00831CEF"/>
    <w:rsid w:val="00831F9A"/>
    <w:rsid w:val="0085651A"/>
    <w:rsid w:val="00867001"/>
    <w:rsid w:val="00872D96"/>
    <w:rsid w:val="00882EE5"/>
    <w:rsid w:val="008E01A0"/>
    <w:rsid w:val="008E03E5"/>
    <w:rsid w:val="008F0A65"/>
    <w:rsid w:val="0090744B"/>
    <w:rsid w:val="00911EDF"/>
    <w:rsid w:val="0092492A"/>
    <w:rsid w:val="00930FB6"/>
    <w:rsid w:val="009472A5"/>
    <w:rsid w:val="009503E2"/>
    <w:rsid w:val="00953EED"/>
    <w:rsid w:val="00962C9A"/>
    <w:rsid w:val="009644A4"/>
    <w:rsid w:val="009671C7"/>
    <w:rsid w:val="00983384"/>
    <w:rsid w:val="009A649C"/>
    <w:rsid w:val="009A6521"/>
    <w:rsid w:val="009B73A0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46ED1"/>
    <w:rsid w:val="00A5794F"/>
    <w:rsid w:val="00A75A8E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716B7"/>
    <w:rsid w:val="00C95B13"/>
    <w:rsid w:val="00CA2BF4"/>
    <w:rsid w:val="00CD3692"/>
    <w:rsid w:val="00CE6D44"/>
    <w:rsid w:val="00CF0C9D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E03FA7"/>
    <w:rsid w:val="00E4027A"/>
    <w:rsid w:val="00E42877"/>
    <w:rsid w:val="00E6175C"/>
    <w:rsid w:val="00E65FA7"/>
    <w:rsid w:val="00E712FB"/>
    <w:rsid w:val="00E717A8"/>
    <w:rsid w:val="00E74214"/>
    <w:rsid w:val="00E93423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0851"/>
    <w:rsid w:val="00F517D0"/>
    <w:rsid w:val="00F52860"/>
    <w:rsid w:val="00F55874"/>
    <w:rsid w:val="00F82701"/>
    <w:rsid w:val="00FA4A31"/>
    <w:rsid w:val="00FA6CC0"/>
    <w:rsid w:val="00FB3138"/>
    <w:rsid w:val="00FC0263"/>
    <w:rsid w:val="00FC0980"/>
    <w:rsid w:val="00FD00BB"/>
    <w:rsid w:val="00FD3A9B"/>
    <w:rsid w:val="00FD614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ベザフィブラートSR錠200mg 「サワイ」</dc:title>
  <dc:subject/>
  <dc:creator>FUSO</dc:creator>
  <cp:keywords/>
  <dc:description/>
  <cp:lastModifiedBy>羽鳥 友佳子</cp:lastModifiedBy>
  <cp:revision>142</cp:revision>
  <cp:lastPrinted>2025-03-07T06:47:00Z</cp:lastPrinted>
  <dcterms:created xsi:type="dcterms:W3CDTF">2021-02-02T23:12:00Z</dcterms:created>
  <dcterms:modified xsi:type="dcterms:W3CDTF">2025-03-07T07:44:00Z</dcterms:modified>
</cp:coreProperties>
</file>